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9529DF-4D65-4B81-A165-ED969A296A30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